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5BCDF" w14:textId="77777777" w:rsidR="00DB0778" w:rsidRPr="00916347" w:rsidRDefault="00DB0778" w:rsidP="00DB0778">
      <w:pPr>
        <w:spacing w:before="100" w:beforeAutospacing="1" w:after="100" w:afterAutospacing="1" w:line="240" w:lineRule="auto"/>
        <w:jc w:val="center"/>
        <w:outlineLvl w:val="0"/>
        <w:rPr>
          <w:rFonts w:eastAsia="Times New Roman" w:cstheme="minorHAnsi"/>
          <w:b/>
          <w:bCs/>
          <w:color w:val="00B050"/>
          <w:kern w:val="36"/>
          <w:sz w:val="28"/>
          <w:szCs w:val="28"/>
          <w:lang w:val="de-DE" w:eastAsia="en-GB"/>
        </w:rPr>
      </w:pPr>
      <w:r w:rsidRPr="00916347">
        <w:rPr>
          <w:rFonts w:eastAsia="Times New Roman" w:cstheme="minorHAnsi"/>
          <w:b/>
          <w:bCs/>
          <w:color w:val="00B050"/>
          <w:kern w:val="36"/>
          <w:sz w:val="28"/>
          <w:szCs w:val="28"/>
          <w:lang w:val="de-DE" w:eastAsia="en-GB"/>
        </w:rPr>
        <w:t>Mietshäuser Syndikat (Auszug aus Wikipedia-Artikel)</w:t>
      </w:r>
    </w:p>
    <w:p w14:paraId="02CB88D6" w14:textId="77777777" w:rsidR="00DB0778" w:rsidRPr="00607832" w:rsidRDefault="00DB0778" w:rsidP="00DB0778">
      <w:pPr>
        <w:jc w:val="both"/>
        <w:rPr>
          <w:rFonts w:cstheme="minorHAnsi"/>
          <w:sz w:val="24"/>
          <w:szCs w:val="24"/>
          <w:lang w:val="de-DE"/>
        </w:rPr>
      </w:pPr>
      <w:r w:rsidRPr="00393B9B">
        <w:rPr>
          <w:rFonts w:cstheme="minorHAnsi"/>
          <w:sz w:val="24"/>
          <w:szCs w:val="24"/>
          <w:lang w:val="de-DE"/>
        </w:rPr>
        <w:t xml:space="preserve">Quelle: </w:t>
      </w:r>
      <w:hyperlink r:id="rId4" w:history="1">
        <w:r w:rsidRPr="005C68C4">
          <w:rPr>
            <w:rStyle w:val="Hyperlink"/>
            <w:rFonts w:cstheme="minorHAnsi"/>
            <w:sz w:val="24"/>
            <w:szCs w:val="24"/>
            <w:lang w:val="de-DE"/>
          </w:rPr>
          <w:t>https://de.wikipedia.org/wiki/Mietsh%C3%A4user_Syndikat</w:t>
        </w:r>
      </w:hyperlink>
      <w:r>
        <w:rPr>
          <w:rFonts w:cstheme="minorHAnsi"/>
          <w:sz w:val="24"/>
          <w:szCs w:val="24"/>
          <w:lang w:val="de-DE"/>
        </w:rPr>
        <w:t xml:space="preserve"> </w:t>
      </w:r>
      <w:r w:rsidRPr="00393B9B">
        <w:rPr>
          <w:rFonts w:cstheme="minorHAnsi"/>
          <w:sz w:val="24"/>
          <w:szCs w:val="24"/>
          <w:lang w:val="de-DE"/>
        </w:rPr>
        <w:t xml:space="preserve">(abgerufen am 29.8.2020) </w:t>
      </w:r>
    </w:p>
    <w:p w14:paraId="554D3AB4" w14:textId="77777777" w:rsidR="00DB0778" w:rsidRPr="00393B9B" w:rsidRDefault="00DB0778" w:rsidP="00DB0778">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Das </w:t>
      </w:r>
      <w:r w:rsidRPr="00393B9B">
        <w:rPr>
          <w:rFonts w:eastAsia="Times New Roman" w:cstheme="minorHAnsi"/>
          <w:b/>
          <w:bCs/>
          <w:sz w:val="24"/>
          <w:szCs w:val="24"/>
          <w:lang w:val="de-DE" w:eastAsia="en-GB"/>
        </w:rPr>
        <w:t>Mietshäuser Syndikat</w:t>
      </w:r>
      <w:r w:rsidRPr="00393B9B">
        <w:rPr>
          <w:rFonts w:eastAsia="Times New Roman" w:cstheme="minorHAnsi"/>
          <w:sz w:val="24"/>
          <w:szCs w:val="24"/>
          <w:lang w:val="de-DE" w:eastAsia="en-GB"/>
        </w:rPr>
        <w:t xml:space="preserve"> (MHS) ist eine in Deutschland einzigartige, kooperativ und nicht-kommerziell organisierte </w:t>
      </w:r>
      <w:hyperlink r:id="rId5" w:tooltip="Beteiligungsgesellschaft" w:history="1">
        <w:r w:rsidRPr="00393B9B">
          <w:rPr>
            <w:rFonts w:eastAsia="Times New Roman" w:cstheme="minorHAnsi"/>
            <w:sz w:val="24"/>
            <w:szCs w:val="24"/>
            <w:lang w:val="de-DE" w:eastAsia="en-GB"/>
          </w:rPr>
          <w:t>Beteiligungsgesellschaft</w:t>
        </w:r>
      </w:hyperlink>
      <w:r w:rsidRPr="00393B9B">
        <w:rPr>
          <w:rFonts w:eastAsia="Times New Roman" w:cstheme="minorHAnsi"/>
          <w:sz w:val="24"/>
          <w:szCs w:val="24"/>
          <w:lang w:val="de-DE" w:eastAsia="en-GB"/>
        </w:rPr>
        <w:t xml:space="preserve"> zum gemeinschaftlichen Erwerb von Häusern, die selbstorganisiert in </w:t>
      </w:r>
      <w:hyperlink r:id="rId6" w:tooltip="Kollektiveigentum" w:history="1">
        <w:r w:rsidRPr="00393B9B">
          <w:rPr>
            <w:rFonts w:eastAsia="Times New Roman" w:cstheme="minorHAnsi"/>
            <w:sz w:val="24"/>
            <w:szCs w:val="24"/>
            <w:lang w:val="de-DE" w:eastAsia="en-GB"/>
          </w:rPr>
          <w:t>Gemeineigentum</w:t>
        </w:r>
      </w:hyperlink>
      <w:r w:rsidRPr="00393B9B">
        <w:rPr>
          <w:rFonts w:eastAsia="Times New Roman" w:cstheme="minorHAnsi"/>
          <w:sz w:val="24"/>
          <w:szCs w:val="24"/>
          <w:lang w:val="de-DE" w:eastAsia="en-GB"/>
        </w:rPr>
        <w:t xml:space="preserve"> überführt werden, um langfristig bezahlbare Wohnungen und Raum für Initiativen zu schaffen. Im Jahr 2020 war es an 154 Hausprojekten in Deutschland beteiligt. </w:t>
      </w:r>
    </w:p>
    <w:p w14:paraId="0ED1F7BE" w14:textId="77777777" w:rsidR="00DB0778" w:rsidRPr="00393B9B" w:rsidRDefault="00DB0778" w:rsidP="00DB0778">
      <w:pPr>
        <w:spacing w:before="100" w:beforeAutospacing="1" w:after="100" w:afterAutospacing="1" w:line="240" w:lineRule="auto"/>
        <w:jc w:val="both"/>
        <w:rPr>
          <w:rFonts w:eastAsia="Times New Roman" w:cstheme="minorHAnsi"/>
          <w:b/>
          <w:bCs/>
          <w:sz w:val="24"/>
          <w:szCs w:val="24"/>
          <w:lang w:val="de-DE" w:eastAsia="en-GB"/>
        </w:rPr>
      </w:pPr>
      <w:r w:rsidRPr="00393B9B">
        <w:rPr>
          <w:rFonts w:eastAsia="Times New Roman" w:cstheme="minorHAnsi"/>
          <w:b/>
          <w:bCs/>
          <w:sz w:val="24"/>
          <w:szCs w:val="24"/>
          <w:lang w:val="de-DE" w:eastAsia="en-GB"/>
        </w:rPr>
        <w:t>Konzept</w:t>
      </w:r>
    </w:p>
    <w:p w14:paraId="2819F12B" w14:textId="77777777" w:rsidR="00DB0778" w:rsidRPr="00393B9B" w:rsidRDefault="00DB0778" w:rsidP="00DB0778">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Das Syndikat beteiligt sich an Projekten, damit sie dem </w:t>
      </w:r>
      <w:hyperlink r:id="rId7" w:tooltip="Immobilienmarkt" w:history="1">
        <w:r w:rsidRPr="00393B9B">
          <w:rPr>
            <w:rFonts w:eastAsia="Times New Roman" w:cstheme="minorHAnsi"/>
            <w:sz w:val="24"/>
            <w:szCs w:val="24"/>
            <w:lang w:val="de-DE" w:eastAsia="en-GB"/>
          </w:rPr>
          <w:t>Immobilienmarkt</w:t>
        </w:r>
      </w:hyperlink>
      <w:r w:rsidRPr="00393B9B">
        <w:rPr>
          <w:rFonts w:eastAsia="Times New Roman" w:cstheme="minorHAnsi"/>
          <w:sz w:val="24"/>
          <w:szCs w:val="24"/>
          <w:lang w:val="de-DE" w:eastAsia="en-GB"/>
        </w:rPr>
        <w:t xml:space="preserve"> entzogen werden, das heißt, nicht weiterverkauft werden können. Gleichzeitig fördert das Syndikat den Solidartransfer zwischen leistungsfähigeren und finanzschwächeren Projekten. Dieser setzt an dem Punkt an, dass in der Regel die </w:t>
      </w:r>
      <w:hyperlink r:id="rId8" w:tooltip="Kapital" w:history="1">
        <w:r w:rsidRPr="00393B9B">
          <w:rPr>
            <w:rFonts w:eastAsia="Times New Roman" w:cstheme="minorHAnsi"/>
            <w:sz w:val="24"/>
            <w:szCs w:val="24"/>
            <w:lang w:val="de-DE" w:eastAsia="en-GB"/>
          </w:rPr>
          <w:t>Eigenkapitaldecke</w:t>
        </w:r>
      </w:hyperlink>
      <w:r w:rsidRPr="00393B9B">
        <w:rPr>
          <w:rFonts w:eastAsia="Times New Roman" w:cstheme="minorHAnsi"/>
          <w:sz w:val="24"/>
          <w:szCs w:val="24"/>
          <w:lang w:val="de-DE" w:eastAsia="en-GB"/>
        </w:rPr>
        <w:t xml:space="preserve"> junger, heterogener Gruppen sehr dünn ist, dabei aber permanent und verlässlich Schulden sowie langsam zunehmend Solidarbeiträge über Mieten bezahlt werden können. Die Teilnahme an diesem </w:t>
      </w:r>
      <w:hyperlink r:id="rId9" w:tooltip="Solidarität" w:history="1">
        <w:r w:rsidRPr="00393B9B">
          <w:rPr>
            <w:rFonts w:eastAsia="Times New Roman" w:cstheme="minorHAnsi"/>
            <w:sz w:val="24"/>
            <w:szCs w:val="24"/>
            <w:lang w:val="de-DE" w:eastAsia="en-GB"/>
          </w:rPr>
          <w:t>solidarischen</w:t>
        </w:r>
      </w:hyperlink>
      <w:r w:rsidRPr="00393B9B">
        <w:rPr>
          <w:rFonts w:eastAsia="Times New Roman" w:cstheme="minorHAnsi"/>
          <w:sz w:val="24"/>
          <w:szCs w:val="24"/>
          <w:lang w:val="de-DE" w:eastAsia="en-GB"/>
        </w:rPr>
        <w:t xml:space="preserve"> Verfahren ist Bedingung für eine Aufnahme im Syndikatsverbund. </w:t>
      </w:r>
    </w:p>
    <w:p w14:paraId="0645BA7E" w14:textId="77777777" w:rsidR="00DB0778" w:rsidRPr="00393B9B" w:rsidRDefault="00DB0778" w:rsidP="00DB0778">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Das Mietshäuser Syndikat unterstützt und berät die Projekte bei der Finanzierung und in rechtlichen Fragen, gibt selbst aber kein Kapital dazu. Das Syndikat versteht sich als </w:t>
      </w:r>
      <w:hyperlink r:id="rId10" w:tooltip="Basisdemokratie" w:history="1">
        <w:r w:rsidRPr="00393B9B">
          <w:rPr>
            <w:rFonts w:eastAsia="Times New Roman" w:cstheme="minorHAnsi"/>
            <w:sz w:val="24"/>
            <w:szCs w:val="24"/>
            <w:lang w:val="de-DE" w:eastAsia="en-GB"/>
          </w:rPr>
          <w:t>basisdemokratisch</w:t>
        </w:r>
      </w:hyperlink>
      <w:r w:rsidRPr="00393B9B">
        <w:rPr>
          <w:rFonts w:eastAsia="Times New Roman" w:cstheme="minorHAnsi"/>
          <w:sz w:val="24"/>
          <w:szCs w:val="24"/>
          <w:lang w:val="de-DE" w:eastAsia="en-GB"/>
        </w:rPr>
        <w:t xml:space="preserve"> arbeitendes </w:t>
      </w:r>
      <w:hyperlink r:id="rId11" w:tooltip="Netzwerk" w:history="1">
        <w:r w:rsidRPr="00393B9B">
          <w:rPr>
            <w:rFonts w:eastAsia="Times New Roman" w:cstheme="minorHAnsi"/>
            <w:sz w:val="24"/>
            <w:szCs w:val="24"/>
            <w:lang w:val="de-DE" w:eastAsia="en-GB"/>
          </w:rPr>
          <w:t>Netzwerk</w:t>
        </w:r>
      </w:hyperlink>
      <w:r w:rsidRPr="00393B9B">
        <w:rPr>
          <w:rFonts w:eastAsia="Times New Roman" w:cstheme="minorHAnsi"/>
          <w:sz w:val="24"/>
          <w:szCs w:val="24"/>
          <w:lang w:val="de-DE" w:eastAsia="en-GB"/>
        </w:rPr>
        <w:t xml:space="preserve"> mit Knotenpunkten in ganz Deutschland. Ein wichtiges Instrument ist ein gemeinschaftlich verwalteter „Solidarfonds“, der 220.000 </w:t>
      </w:r>
      <w:hyperlink r:id="rId12" w:tooltip="Euro" w:history="1">
        <w:r w:rsidRPr="00393B9B">
          <w:rPr>
            <w:rFonts w:eastAsia="Times New Roman" w:cstheme="minorHAnsi"/>
            <w:sz w:val="24"/>
            <w:szCs w:val="24"/>
            <w:lang w:val="de-DE" w:eastAsia="en-GB"/>
          </w:rPr>
          <w:t>Euro</w:t>
        </w:r>
      </w:hyperlink>
      <w:r w:rsidRPr="00393B9B">
        <w:rPr>
          <w:rFonts w:eastAsia="Times New Roman" w:cstheme="minorHAnsi"/>
          <w:sz w:val="24"/>
          <w:szCs w:val="24"/>
          <w:lang w:val="de-DE" w:eastAsia="en-GB"/>
        </w:rPr>
        <w:t xml:space="preserve"> im Jahr 2015 umfasste.</w:t>
      </w:r>
      <w:hyperlink r:id="rId13" w:anchor="cite_note-syndikat-2" w:history="1">
        <w:r w:rsidRPr="00393B9B">
          <w:rPr>
            <w:rFonts w:eastAsia="Times New Roman" w:cstheme="minorHAnsi"/>
            <w:sz w:val="24"/>
            <w:szCs w:val="24"/>
            <w:vertAlign w:val="superscript"/>
            <w:lang w:val="de-DE" w:eastAsia="en-GB"/>
          </w:rPr>
          <w:t>[2]</w:t>
        </w:r>
      </w:hyperlink>
      <w:r w:rsidRPr="00393B9B">
        <w:rPr>
          <w:rFonts w:eastAsia="Times New Roman" w:cstheme="minorHAnsi"/>
          <w:sz w:val="24"/>
          <w:szCs w:val="24"/>
          <w:lang w:val="de-DE" w:eastAsia="en-GB"/>
        </w:rPr>
        <w:t xml:space="preserve"> Die in Frage stehenden Häuser, häufig </w:t>
      </w:r>
      <w:hyperlink r:id="rId14" w:tooltip="Wohnprojekt" w:history="1">
        <w:r w:rsidRPr="00393B9B">
          <w:rPr>
            <w:rFonts w:eastAsia="Times New Roman" w:cstheme="minorHAnsi"/>
            <w:sz w:val="24"/>
            <w:szCs w:val="24"/>
            <w:lang w:val="de-DE" w:eastAsia="en-GB"/>
          </w:rPr>
          <w:t>Wohnprojekte</w:t>
        </w:r>
      </w:hyperlink>
      <w:r w:rsidRPr="00393B9B">
        <w:rPr>
          <w:rFonts w:eastAsia="Times New Roman" w:cstheme="minorHAnsi"/>
          <w:sz w:val="24"/>
          <w:szCs w:val="24"/>
          <w:lang w:val="de-DE" w:eastAsia="en-GB"/>
        </w:rPr>
        <w:t xml:space="preserve">, werden nicht Eigentum des Syndikats, sondern einer eigenen </w:t>
      </w:r>
      <w:hyperlink r:id="rId15" w:tooltip="Gesellschaft mit beschränkter Haftung (Deutschland)" w:history="1">
        <w:r w:rsidRPr="00393B9B">
          <w:rPr>
            <w:rFonts w:eastAsia="Times New Roman" w:cstheme="minorHAnsi"/>
            <w:sz w:val="24"/>
            <w:szCs w:val="24"/>
            <w:lang w:val="de-DE" w:eastAsia="en-GB"/>
          </w:rPr>
          <w:t>GmbH</w:t>
        </w:r>
      </w:hyperlink>
      <w:r w:rsidRPr="00393B9B">
        <w:rPr>
          <w:rFonts w:eastAsia="Times New Roman" w:cstheme="minorHAnsi"/>
          <w:sz w:val="24"/>
          <w:szCs w:val="24"/>
          <w:lang w:val="de-DE" w:eastAsia="en-GB"/>
        </w:rPr>
        <w:t xml:space="preserve">, in der der jeweilige Hausverein und das Mietshäuser Syndikat vertreten sind. Der </w:t>
      </w:r>
      <w:hyperlink r:id="rId16" w:tooltip="Rechtstitel" w:history="1">
        <w:r w:rsidRPr="00393B9B">
          <w:rPr>
            <w:rFonts w:eastAsia="Times New Roman" w:cstheme="minorHAnsi"/>
            <w:sz w:val="24"/>
            <w:szCs w:val="24"/>
            <w:lang w:val="de-DE" w:eastAsia="en-GB"/>
          </w:rPr>
          <w:t>Eigentumstitel</w:t>
        </w:r>
      </w:hyperlink>
      <w:r w:rsidRPr="00393B9B">
        <w:rPr>
          <w:rFonts w:eastAsia="Times New Roman" w:cstheme="minorHAnsi"/>
          <w:sz w:val="24"/>
          <w:szCs w:val="24"/>
          <w:lang w:val="de-DE" w:eastAsia="en-GB"/>
        </w:rPr>
        <w:t xml:space="preserve"> der Immobilie liegt bei der GmbH. Die Stimmrechte sind im GmbH-Vertrag festgelegt und nicht wie üblich an die Höhe der Anteile gekoppelt. Über den Verein verwalten die Nutzer ihr Objekt eigenverantwortlich. Hausverein und Mietshäuser Syndikat haben in der GmbH </w:t>
      </w:r>
      <w:hyperlink r:id="rId17" w:tooltip="Parität (Politik)" w:history="1">
        <w:r w:rsidRPr="00393B9B">
          <w:rPr>
            <w:rFonts w:eastAsia="Times New Roman" w:cstheme="minorHAnsi"/>
            <w:sz w:val="24"/>
            <w:szCs w:val="24"/>
            <w:lang w:val="de-DE" w:eastAsia="en-GB"/>
          </w:rPr>
          <w:t>Stimmenparität</w:t>
        </w:r>
      </w:hyperlink>
      <w:r w:rsidRPr="00393B9B">
        <w:rPr>
          <w:rFonts w:eastAsia="Times New Roman" w:cstheme="minorHAnsi"/>
          <w:sz w:val="24"/>
          <w:szCs w:val="24"/>
          <w:lang w:val="de-DE" w:eastAsia="en-GB"/>
        </w:rPr>
        <w:t xml:space="preserve">, so dass Verkauf oder Umwandlung nur einvernehmlich möglich sind und damit verhindert werden können. Entscheidungen wie Wohnungsvergabe, Gestaltung, Finanzierung und Miethöhe obliegen im Rahmen der Wirtschaftlichkeit ausschließlich dem Hausverein, also den dort lebenden Menschen. Die Mietshäuser Syndikat GmbH ist wiederum im Besitz der Gesamtheit der Hausvereine. Höchstes Organ ist die viermal jährlich stattfindende Mitgliederversammlung. </w:t>
      </w:r>
    </w:p>
    <w:p w14:paraId="3C102C45" w14:textId="77777777" w:rsidR="00DB0778" w:rsidRPr="00393B9B" w:rsidRDefault="00DB0778" w:rsidP="00DB0778">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Das Syndikat hat seinen Ursprung im genossenschaftlichen und politisch </w:t>
      </w:r>
      <w:hyperlink r:id="rId18" w:tooltip="Linke Politik" w:history="1">
        <w:r w:rsidRPr="00393B9B">
          <w:rPr>
            <w:rFonts w:eastAsia="Times New Roman" w:cstheme="minorHAnsi"/>
            <w:sz w:val="24"/>
            <w:szCs w:val="24"/>
            <w:lang w:val="de-DE" w:eastAsia="en-GB"/>
          </w:rPr>
          <w:t>linken</w:t>
        </w:r>
      </w:hyperlink>
      <w:r w:rsidRPr="00393B9B">
        <w:rPr>
          <w:rFonts w:eastAsia="Times New Roman" w:cstheme="minorHAnsi"/>
          <w:sz w:val="24"/>
          <w:szCs w:val="24"/>
          <w:lang w:val="de-DE" w:eastAsia="en-GB"/>
        </w:rPr>
        <w:t xml:space="preserve"> Spektrum und versucht, Ziele der </w:t>
      </w:r>
      <w:hyperlink r:id="rId19" w:tooltip="Hausbesetzung" w:history="1">
        <w:r w:rsidRPr="00393B9B">
          <w:rPr>
            <w:rFonts w:eastAsia="Times New Roman" w:cstheme="minorHAnsi"/>
            <w:sz w:val="24"/>
            <w:szCs w:val="24"/>
            <w:lang w:val="de-DE" w:eastAsia="en-GB"/>
          </w:rPr>
          <w:t>Hausbesetzer-Szene</w:t>
        </w:r>
      </w:hyperlink>
      <w:r w:rsidRPr="00393B9B">
        <w:rPr>
          <w:rFonts w:eastAsia="Times New Roman" w:cstheme="minorHAnsi"/>
          <w:sz w:val="24"/>
          <w:szCs w:val="24"/>
          <w:lang w:val="de-DE" w:eastAsia="en-GB"/>
        </w:rPr>
        <w:t xml:space="preserve">, soziologische und städtebauliche Erkenntnisse seit den 1960er Jahren sowie Ansätze zum sozialverträglichen und ökologischen Umgang mit Geld, Grund und Boden unabhängig von Großbanken und Staat in der Realität zu verankern. </w:t>
      </w:r>
    </w:p>
    <w:p w14:paraId="537F2B42" w14:textId="77777777" w:rsidR="00DB0778" w:rsidRPr="00393B9B" w:rsidRDefault="00DB0778" w:rsidP="00DB0778">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Auf dem Freiburger „</w:t>
      </w:r>
      <w:proofErr w:type="spellStart"/>
      <w:r w:rsidRPr="00393B9B">
        <w:rPr>
          <w:rFonts w:eastAsia="Times New Roman" w:cstheme="minorHAnsi"/>
          <w:sz w:val="24"/>
          <w:szCs w:val="24"/>
          <w:lang w:val="de-DE" w:eastAsia="en-GB"/>
        </w:rPr>
        <w:t>Grethergelände</w:t>
      </w:r>
      <w:proofErr w:type="spellEnd"/>
      <w:r w:rsidRPr="00393B9B">
        <w:rPr>
          <w:rFonts w:eastAsia="Times New Roman" w:cstheme="minorHAnsi"/>
          <w:sz w:val="24"/>
          <w:szCs w:val="24"/>
          <w:lang w:val="de-DE" w:eastAsia="en-GB"/>
        </w:rPr>
        <w:t xml:space="preserve">“, einem Komplex mit 100 Bewohnern, Informationszentren wie dem Strandcafé und dem </w:t>
      </w:r>
      <w:hyperlink r:id="rId20" w:tooltip="Radio Dreyeckland (Freiburg im Breisgau)" w:history="1">
        <w:r w:rsidRPr="00393B9B">
          <w:rPr>
            <w:rFonts w:eastAsia="Times New Roman" w:cstheme="minorHAnsi"/>
            <w:sz w:val="24"/>
            <w:szCs w:val="24"/>
            <w:lang w:val="de-DE" w:eastAsia="en-GB"/>
          </w:rPr>
          <w:t xml:space="preserve">Radio </w:t>
        </w:r>
        <w:proofErr w:type="spellStart"/>
        <w:r w:rsidRPr="00393B9B">
          <w:rPr>
            <w:rFonts w:eastAsia="Times New Roman" w:cstheme="minorHAnsi"/>
            <w:sz w:val="24"/>
            <w:szCs w:val="24"/>
            <w:lang w:val="de-DE" w:eastAsia="en-GB"/>
          </w:rPr>
          <w:t>Dreyeckland</w:t>
        </w:r>
        <w:proofErr w:type="spellEnd"/>
      </w:hyperlink>
      <w:r w:rsidRPr="00393B9B">
        <w:rPr>
          <w:rFonts w:eastAsia="Times New Roman" w:cstheme="minorHAnsi"/>
          <w:sz w:val="24"/>
          <w:szCs w:val="24"/>
          <w:lang w:val="de-DE" w:eastAsia="en-GB"/>
        </w:rPr>
        <w:t xml:space="preserve"> auf dem Gelände des ehemaligen Unternehmens </w:t>
      </w:r>
      <w:hyperlink r:id="rId21" w:tooltip="Grether &amp; Cie." w:history="1">
        <w:r w:rsidRPr="00393B9B">
          <w:rPr>
            <w:rFonts w:eastAsia="Times New Roman" w:cstheme="minorHAnsi"/>
            <w:sz w:val="24"/>
            <w:szCs w:val="24"/>
            <w:lang w:val="de-DE" w:eastAsia="en-GB"/>
          </w:rPr>
          <w:t>Grether &amp; Cie.</w:t>
        </w:r>
      </w:hyperlink>
      <w:r w:rsidRPr="00393B9B">
        <w:rPr>
          <w:rFonts w:eastAsia="Times New Roman" w:cstheme="minorHAnsi"/>
          <w:sz w:val="24"/>
          <w:szCs w:val="24"/>
          <w:lang w:val="de-DE" w:eastAsia="en-GB"/>
        </w:rPr>
        <w:t xml:space="preserve"> befindet sich die zentrale Koordination. </w:t>
      </w:r>
    </w:p>
    <w:p w14:paraId="50AB54CC" w14:textId="77777777" w:rsidR="00DB0778" w:rsidRPr="00393B9B" w:rsidRDefault="00DB0778" w:rsidP="00DB0778">
      <w:pPr>
        <w:spacing w:before="100" w:beforeAutospacing="1" w:after="100" w:afterAutospacing="1" w:line="240" w:lineRule="auto"/>
        <w:jc w:val="both"/>
        <w:outlineLvl w:val="1"/>
        <w:rPr>
          <w:rFonts w:eastAsia="Times New Roman" w:cstheme="minorHAnsi"/>
          <w:b/>
          <w:bCs/>
          <w:sz w:val="24"/>
          <w:szCs w:val="24"/>
          <w:lang w:val="de-DE" w:eastAsia="en-GB"/>
        </w:rPr>
      </w:pPr>
      <w:r w:rsidRPr="00393B9B">
        <w:rPr>
          <w:rFonts w:eastAsia="Times New Roman" w:cstheme="minorHAnsi"/>
          <w:b/>
          <w:bCs/>
          <w:sz w:val="24"/>
          <w:szCs w:val="24"/>
          <w:lang w:val="de-DE" w:eastAsia="en-GB"/>
        </w:rPr>
        <w:t>Entwicklung</w:t>
      </w:r>
    </w:p>
    <w:p w14:paraId="57E0FD6F" w14:textId="77777777" w:rsidR="00DB0778" w:rsidRPr="00393B9B" w:rsidRDefault="00DB0778" w:rsidP="00DB0778">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lastRenderedPageBreak/>
        <w:t xml:space="preserve">Das Syndikat wurde 1992 in </w:t>
      </w:r>
      <w:hyperlink r:id="rId22" w:tooltip="Freiburg im Breisgau" w:history="1">
        <w:r w:rsidRPr="00393B9B">
          <w:rPr>
            <w:rFonts w:eastAsia="Times New Roman" w:cstheme="minorHAnsi"/>
            <w:sz w:val="24"/>
            <w:szCs w:val="24"/>
            <w:lang w:val="de-DE" w:eastAsia="en-GB"/>
          </w:rPr>
          <w:t>Freiburg im Breisgau</w:t>
        </w:r>
      </w:hyperlink>
      <w:r w:rsidRPr="00393B9B">
        <w:rPr>
          <w:rFonts w:eastAsia="Times New Roman" w:cstheme="minorHAnsi"/>
          <w:sz w:val="24"/>
          <w:szCs w:val="24"/>
          <w:lang w:val="de-DE" w:eastAsia="en-GB"/>
        </w:rPr>
        <w:t xml:space="preserve"> von ehemaligen </w:t>
      </w:r>
      <w:hyperlink r:id="rId23" w:tooltip="Hausbesetzung" w:history="1">
        <w:r w:rsidRPr="00393B9B">
          <w:rPr>
            <w:rFonts w:eastAsia="Times New Roman" w:cstheme="minorHAnsi"/>
            <w:sz w:val="24"/>
            <w:szCs w:val="24"/>
            <w:lang w:val="de-DE" w:eastAsia="en-GB"/>
          </w:rPr>
          <w:t>Hausbesetzern</w:t>
        </w:r>
      </w:hyperlink>
      <w:r w:rsidRPr="00393B9B">
        <w:rPr>
          <w:rFonts w:eastAsia="Times New Roman" w:cstheme="minorHAnsi"/>
          <w:sz w:val="24"/>
          <w:szCs w:val="24"/>
          <w:lang w:val="de-DE" w:eastAsia="en-GB"/>
        </w:rPr>
        <w:t xml:space="preserve"> gegründet. Bis 2020 konnte es sich an 154 Wohnprojekten mit über 3.600 Bewohnerinnen und Bewohnern beteiligen und 21 Initiativen unterstützen. Das kleinste Objekt ist ein </w:t>
      </w:r>
      <w:hyperlink r:id="rId24" w:tooltip="Einfamilienhaus" w:history="1">
        <w:r w:rsidRPr="00393B9B">
          <w:rPr>
            <w:rFonts w:eastAsia="Times New Roman" w:cstheme="minorHAnsi"/>
            <w:sz w:val="24"/>
            <w:szCs w:val="24"/>
            <w:lang w:val="de-DE" w:eastAsia="en-GB"/>
          </w:rPr>
          <w:t>Einfamilienhaus</w:t>
        </w:r>
      </w:hyperlink>
      <w:r w:rsidRPr="00393B9B">
        <w:rPr>
          <w:rFonts w:eastAsia="Times New Roman" w:cstheme="minorHAnsi"/>
          <w:sz w:val="24"/>
          <w:szCs w:val="24"/>
          <w:lang w:val="de-DE" w:eastAsia="en-GB"/>
        </w:rPr>
        <w:t xml:space="preserve"> für sechs Personen, das größte das </w:t>
      </w:r>
      <w:hyperlink r:id="rId25" w:tooltip="SUSI (Wohnprojekt)" w:history="1">
        <w:r w:rsidRPr="00393B9B">
          <w:rPr>
            <w:rFonts w:eastAsia="Times New Roman" w:cstheme="minorHAnsi"/>
            <w:sz w:val="24"/>
            <w:szCs w:val="24"/>
            <w:lang w:val="de-DE" w:eastAsia="en-GB"/>
          </w:rPr>
          <w:t xml:space="preserve">Wohnprojekt </w:t>
        </w:r>
        <w:r w:rsidRPr="00393B9B">
          <w:rPr>
            <w:rFonts w:eastAsia="Times New Roman" w:cstheme="minorHAnsi"/>
            <w:i/>
            <w:iCs/>
            <w:sz w:val="24"/>
            <w:szCs w:val="24"/>
            <w:lang w:val="de-DE" w:eastAsia="en-GB"/>
          </w:rPr>
          <w:t>SUSI</w:t>
        </w:r>
      </w:hyperlink>
      <w:r w:rsidRPr="00393B9B">
        <w:rPr>
          <w:rFonts w:eastAsia="Times New Roman" w:cstheme="minorHAnsi"/>
          <w:sz w:val="24"/>
          <w:szCs w:val="24"/>
          <w:lang w:val="de-DE" w:eastAsia="en-GB"/>
        </w:rPr>
        <w:t xml:space="preserve">, vier Gebäude der ehemaligen </w:t>
      </w:r>
      <w:hyperlink r:id="rId26" w:tooltip="Schlageter-Kaserne" w:history="1">
        <w:r w:rsidRPr="00393B9B">
          <w:rPr>
            <w:rFonts w:eastAsia="Times New Roman" w:cstheme="minorHAnsi"/>
            <w:sz w:val="24"/>
            <w:szCs w:val="24"/>
            <w:lang w:val="de-DE" w:eastAsia="en-GB"/>
          </w:rPr>
          <w:t>Schlageter-Kaserne</w:t>
        </w:r>
      </w:hyperlink>
      <w:r w:rsidRPr="00393B9B">
        <w:rPr>
          <w:rFonts w:eastAsia="Times New Roman" w:cstheme="minorHAnsi"/>
          <w:sz w:val="24"/>
          <w:szCs w:val="24"/>
          <w:lang w:val="de-DE" w:eastAsia="en-GB"/>
        </w:rPr>
        <w:t xml:space="preserve"> in Freiburg mit 260 Bewohnern aller Altersstufen 2007 wurde die „Regionale Koordination </w:t>
      </w:r>
      <w:hyperlink r:id="rId27" w:tooltip="Tübingen" w:history="1">
        <w:r w:rsidRPr="00393B9B">
          <w:rPr>
            <w:rFonts w:eastAsia="Times New Roman" w:cstheme="minorHAnsi"/>
            <w:sz w:val="24"/>
            <w:szCs w:val="24"/>
            <w:lang w:val="de-DE" w:eastAsia="en-GB"/>
          </w:rPr>
          <w:t>Tübingen</w:t>
        </w:r>
      </w:hyperlink>
      <w:r w:rsidRPr="00393B9B">
        <w:rPr>
          <w:rFonts w:eastAsia="Times New Roman" w:cstheme="minorHAnsi"/>
          <w:sz w:val="24"/>
          <w:szCs w:val="24"/>
          <w:lang w:val="de-DE" w:eastAsia="en-GB"/>
        </w:rPr>
        <w:t xml:space="preserve">“ gegründet. Weitere regionale Koordinationen und Beratungen bestehen für die Regionen </w:t>
      </w:r>
      <w:hyperlink r:id="rId28" w:tooltip="Bayern" w:history="1">
        <w:r w:rsidRPr="00393B9B">
          <w:rPr>
            <w:rFonts w:eastAsia="Times New Roman" w:cstheme="minorHAnsi"/>
            <w:sz w:val="24"/>
            <w:szCs w:val="24"/>
            <w:lang w:val="de-DE" w:eastAsia="en-GB"/>
          </w:rPr>
          <w:t>Bayern</w:t>
        </w:r>
      </w:hyperlink>
      <w:r w:rsidRPr="00393B9B">
        <w:rPr>
          <w:rFonts w:eastAsia="Times New Roman" w:cstheme="minorHAnsi"/>
          <w:sz w:val="24"/>
          <w:szCs w:val="24"/>
          <w:lang w:val="de-DE" w:eastAsia="en-GB"/>
        </w:rPr>
        <w:t xml:space="preserve">, </w:t>
      </w:r>
      <w:hyperlink r:id="rId29" w:tooltip="Berlin-Brandenburg" w:history="1">
        <w:r w:rsidRPr="00393B9B">
          <w:rPr>
            <w:rFonts w:eastAsia="Times New Roman" w:cstheme="minorHAnsi"/>
            <w:sz w:val="24"/>
            <w:szCs w:val="24"/>
            <w:lang w:val="de-DE" w:eastAsia="en-GB"/>
          </w:rPr>
          <w:t>Berlin-Brandenburg</w:t>
        </w:r>
      </w:hyperlink>
      <w:r w:rsidRPr="00393B9B">
        <w:rPr>
          <w:rFonts w:eastAsia="Times New Roman" w:cstheme="minorHAnsi"/>
          <w:sz w:val="24"/>
          <w:szCs w:val="24"/>
          <w:lang w:val="de-DE" w:eastAsia="en-GB"/>
        </w:rPr>
        <w:t xml:space="preserve">, </w:t>
      </w:r>
      <w:hyperlink r:id="rId30" w:tooltip="Bremen" w:history="1">
        <w:r w:rsidRPr="00393B9B">
          <w:rPr>
            <w:rFonts w:eastAsia="Times New Roman" w:cstheme="minorHAnsi"/>
            <w:sz w:val="24"/>
            <w:szCs w:val="24"/>
            <w:lang w:val="de-DE" w:eastAsia="en-GB"/>
          </w:rPr>
          <w:t>Bremen</w:t>
        </w:r>
      </w:hyperlink>
      <w:r w:rsidRPr="00393B9B">
        <w:rPr>
          <w:rFonts w:eastAsia="Times New Roman" w:cstheme="minorHAnsi"/>
          <w:sz w:val="24"/>
          <w:szCs w:val="24"/>
          <w:lang w:val="de-DE" w:eastAsia="en-GB"/>
        </w:rPr>
        <w:t xml:space="preserve">, </w:t>
      </w:r>
      <w:hyperlink r:id="rId31" w:tooltip="Dresden" w:history="1">
        <w:r w:rsidRPr="00393B9B">
          <w:rPr>
            <w:rFonts w:eastAsia="Times New Roman" w:cstheme="minorHAnsi"/>
            <w:sz w:val="24"/>
            <w:szCs w:val="24"/>
            <w:lang w:val="de-DE" w:eastAsia="en-GB"/>
          </w:rPr>
          <w:t>Dresden</w:t>
        </w:r>
      </w:hyperlink>
      <w:r w:rsidRPr="00393B9B">
        <w:rPr>
          <w:rFonts w:eastAsia="Times New Roman" w:cstheme="minorHAnsi"/>
          <w:sz w:val="24"/>
          <w:szCs w:val="24"/>
          <w:lang w:val="de-DE" w:eastAsia="en-GB"/>
        </w:rPr>
        <w:t xml:space="preserve">, </w:t>
      </w:r>
      <w:hyperlink r:id="rId32" w:tooltip="Hamburg" w:history="1">
        <w:r w:rsidRPr="00393B9B">
          <w:rPr>
            <w:rFonts w:eastAsia="Times New Roman" w:cstheme="minorHAnsi"/>
            <w:sz w:val="24"/>
            <w:szCs w:val="24"/>
            <w:lang w:val="de-DE" w:eastAsia="en-GB"/>
          </w:rPr>
          <w:t>Hamburg</w:t>
        </w:r>
      </w:hyperlink>
      <w:r w:rsidRPr="00393B9B">
        <w:rPr>
          <w:rFonts w:eastAsia="Times New Roman" w:cstheme="minorHAnsi"/>
          <w:sz w:val="24"/>
          <w:szCs w:val="24"/>
          <w:lang w:val="de-DE" w:eastAsia="en-GB"/>
        </w:rPr>
        <w:t xml:space="preserve">, </w:t>
      </w:r>
      <w:hyperlink r:id="rId33" w:tooltip="Gießen" w:history="1">
        <w:r w:rsidRPr="00393B9B">
          <w:rPr>
            <w:rFonts w:eastAsia="Times New Roman" w:cstheme="minorHAnsi"/>
            <w:sz w:val="24"/>
            <w:szCs w:val="24"/>
            <w:lang w:val="de-DE" w:eastAsia="en-GB"/>
          </w:rPr>
          <w:t>Gießen</w:t>
        </w:r>
      </w:hyperlink>
      <w:r w:rsidRPr="00393B9B">
        <w:rPr>
          <w:rFonts w:eastAsia="Times New Roman" w:cstheme="minorHAnsi"/>
          <w:sz w:val="24"/>
          <w:szCs w:val="24"/>
          <w:lang w:val="de-DE" w:eastAsia="en-GB"/>
        </w:rPr>
        <w:t xml:space="preserve">, </w:t>
      </w:r>
      <w:hyperlink r:id="rId34" w:tooltip="Leipzig" w:history="1">
        <w:r w:rsidRPr="00393B9B">
          <w:rPr>
            <w:rFonts w:eastAsia="Times New Roman" w:cstheme="minorHAnsi"/>
            <w:sz w:val="24"/>
            <w:szCs w:val="24"/>
            <w:lang w:val="de-DE" w:eastAsia="en-GB"/>
          </w:rPr>
          <w:t>Leipzig</w:t>
        </w:r>
      </w:hyperlink>
      <w:r w:rsidRPr="00393B9B">
        <w:rPr>
          <w:rFonts w:eastAsia="Times New Roman" w:cstheme="minorHAnsi"/>
          <w:sz w:val="24"/>
          <w:szCs w:val="24"/>
          <w:lang w:val="de-DE" w:eastAsia="en-GB"/>
        </w:rPr>
        <w:t xml:space="preserve">, </w:t>
      </w:r>
      <w:hyperlink r:id="rId35" w:tooltip="Marburg" w:history="1">
        <w:r w:rsidRPr="00393B9B">
          <w:rPr>
            <w:rFonts w:eastAsia="Times New Roman" w:cstheme="minorHAnsi"/>
            <w:sz w:val="24"/>
            <w:szCs w:val="24"/>
            <w:lang w:val="de-DE" w:eastAsia="en-GB"/>
          </w:rPr>
          <w:t>Marburg</w:t>
        </w:r>
      </w:hyperlink>
      <w:r w:rsidRPr="00393B9B">
        <w:rPr>
          <w:rFonts w:eastAsia="Times New Roman" w:cstheme="minorHAnsi"/>
          <w:sz w:val="24"/>
          <w:szCs w:val="24"/>
          <w:lang w:val="de-DE" w:eastAsia="en-GB"/>
        </w:rPr>
        <w:t xml:space="preserve"> sowie </w:t>
      </w:r>
      <w:hyperlink r:id="rId36" w:tooltip="Nordrhein-Westfalen" w:history="1">
        <w:r w:rsidRPr="00393B9B">
          <w:rPr>
            <w:rFonts w:eastAsia="Times New Roman" w:cstheme="minorHAnsi"/>
            <w:sz w:val="24"/>
            <w:szCs w:val="24"/>
            <w:lang w:val="de-DE" w:eastAsia="en-GB"/>
          </w:rPr>
          <w:t>Nordrhein-Westfalen</w:t>
        </w:r>
      </w:hyperlink>
      <w:r w:rsidRPr="00393B9B">
        <w:rPr>
          <w:rFonts w:eastAsia="Times New Roman" w:cstheme="minorHAnsi"/>
          <w:sz w:val="24"/>
          <w:szCs w:val="24"/>
          <w:lang w:val="de-DE" w:eastAsia="en-GB"/>
        </w:rPr>
        <w:t xml:space="preserve">. </w:t>
      </w:r>
    </w:p>
    <w:p w14:paraId="6D6777AB" w14:textId="77777777" w:rsidR="00DB0778" w:rsidRPr="00393B9B" w:rsidRDefault="00DB0778" w:rsidP="00DB0778">
      <w:pPr>
        <w:spacing w:before="100" w:beforeAutospacing="1" w:after="100" w:afterAutospacing="1" w:line="240" w:lineRule="auto"/>
        <w:jc w:val="both"/>
        <w:outlineLvl w:val="1"/>
        <w:rPr>
          <w:rFonts w:eastAsia="Times New Roman" w:cstheme="minorHAnsi"/>
          <w:b/>
          <w:bCs/>
          <w:sz w:val="24"/>
          <w:szCs w:val="24"/>
          <w:lang w:val="de-DE" w:eastAsia="en-GB"/>
        </w:rPr>
      </w:pPr>
      <w:r w:rsidRPr="00393B9B">
        <w:rPr>
          <w:rFonts w:eastAsia="Times New Roman" w:cstheme="minorHAnsi"/>
          <w:b/>
          <w:bCs/>
          <w:sz w:val="24"/>
          <w:szCs w:val="24"/>
          <w:lang w:val="de-DE" w:eastAsia="en-GB"/>
        </w:rPr>
        <w:t>Risiken für Direktkreditgeber</w:t>
      </w:r>
    </w:p>
    <w:p w14:paraId="3566CDFD" w14:textId="77777777" w:rsidR="00DB0778" w:rsidRPr="00393B9B" w:rsidRDefault="00DB0778" w:rsidP="00DB0778">
      <w:pPr>
        <w:spacing w:before="100" w:beforeAutospacing="1" w:after="100" w:afterAutospacing="1" w:line="240" w:lineRule="auto"/>
        <w:jc w:val="both"/>
        <w:rPr>
          <w:rFonts w:eastAsia="Times New Roman" w:cstheme="minorHAnsi"/>
          <w:sz w:val="24"/>
          <w:szCs w:val="24"/>
          <w:lang w:val="de-DE" w:eastAsia="en-GB"/>
        </w:rPr>
      </w:pPr>
      <w:r w:rsidRPr="00393B9B">
        <w:rPr>
          <w:rFonts w:eastAsia="Times New Roman" w:cstheme="minorHAnsi"/>
          <w:sz w:val="24"/>
          <w:szCs w:val="24"/>
          <w:lang w:val="de-DE" w:eastAsia="en-GB"/>
        </w:rPr>
        <w:t xml:space="preserve">Es bestehen Risiken für etwaige </w:t>
      </w:r>
      <w:hyperlink r:id="rId37" w:tooltip="Anleger (Finanzmarkt)" w:history="1">
        <w:r w:rsidRPr="00393B9B">
          <w:rPr>
            <w:rFonts w:eastAsia="Times New Roman" w:cstheme="minorHAnsi"/>
            <w:sz w:val="24"/>
            <w:szCs w:val="24"/>
            <w:lang w:val="de-DE" w:eastAsia="en-GB"/>
          </w:rPr>
          <w:t>Anleger</w:t>
        </w:r>
      </w:hyperlink>
      <w:r w:rsidRPr="00393B9B">
        <w:rPr>
          <w:rFonts w:eastAsia="Times New Roman" w:cstheme="minorHAnsi"/>
          <w:sz w:val="24"/>
          <w:szCs w:val="24"/>
          <w:lang w:val="de-DE" w:eastAsia="en-GB"/>
        </w:rPr>
        <w:t xml:space="preserve">: Zur Finanzierung der sozialverträglichen Wohn-Immobilienprojekte ist in der Regel Kapital notwendig, über das die jeweiligen Hausvereine meist nicht hinreichend verfügen. Banken verlangen dieses Kapital als zusätzliche Sicherheit, um ihrerseits Kredite zu gewähren. Die Hausvereine werben die nötigen Gelder dabei als Direktkredite von Privatpersonen ein, die ihr Kapital als </w:t>
      </w:r>
      <w:hyperlink r:id="rId38" w:tooltip="Nachrangiges Darlehen" w:history="1">
        <w:r w:rsidRPr="00393B9B">
          <w:rPr>
            <w:rFonts w:eastAsia="Times New Roman" w:cstheme="minorHAnsi"/>
            <w:sz w:val="24"/>
            <w:szCs w:val="24"/>
            <w:lang w:val="de-DE" w:eastAsia="en-GB"/>
          </w:rPr>
          <w:t>nachrangiges Darlehen</w:t>
        </w:r>
      </w:hyperlink>
      <w:r w:rsidRPr="00393B9B">
        <w:rPr>
          <w:rFonts w:eastAsia="Times New Roman" w:cstheme="minorHAnsi"/>
          <w:sz w:val="24"/>
          <w:szCs w:val="24"/>
          <w:lang w:val="de-DE" w:eastAsia="en-GB"/>
        </w:rPr>
        <w:t xml:space="preserve"> zur Verfügung stellen.</w:t>
      </w:r>
      <w:hyperlink r:id="rId39" w:anchor="cite_note-8" w:history="1">
        <w:r w:rsidRPr="00393B9B">
          <w:rPr>
            <w:rFonts w:eastAsia="Times New Roman" w:cstheme="minorHAnsi"/>
            <w:sz w:val="24"/>
            <w:szCs w:val="24"/>
            <w:vertAlign w:val="superscript"/>
            <w:lang w:val="de-DE" w:eastAsia="en-GB"/>
          </w:rPr>
          <w:t>[8]</w:t>
        </w:r>
      </w:hyperlink>
      <w:r w:rsidRPr="00393B9B">
        <w:rPr>
          <w:rFonts w:eastAsia="Times New Roman" w:cstheme="minorHAnsi"/>
          <w:sz w:val="24"/>
          <w:szCs w:val="24"/>
          <w:lang w:val="de-DE" w:eastAsia="en-GB"/>
        </w:rPr>
        <w:t xml:space="preserve"> Im Falle einer </w:t>
      </w:r>
      <w:hyperlink r:id="rId40" w:tooltip="Insolvenz" w:history="1">
        <w:r w:rsidRPr="00393B9B">
          <w:rPr>
            <w:rFonts w:eastAsia="Times New Roman" w:cstheme="minorHAnsi"/>
            <w:sz w:val="24"/>
            <w:szCs w:val="24"/>
            <w:lang w:val="de-DE" w:eastAsia="en-GB"/>
          </w:rPr>
          <w:t>Insolvenz</w:t>
        </w:r>
      </w:hyperlink>
      <w:r w:rsidRPr="00393B9B">
        <w:rPr>
          <w:rFonts w:eastAsia="Times New Roman" w:cstheme="minorHAnsi"/>
          <w:sz w:val="24"/>
          <w:szCs w:val="24"/>
          <w:lang w:val="de-DE" w:eastAsia="en-GB"/>
        </w:rPr>
        <w:t xml:space="preserve"> des Hausvereins werden diese bewusst sehr niedrig verzinsten Kredite somit nachrangig bedient, das gesamte Geld steht also während der Laufzeit im Risiko. Das Mietshäuser Syndikat informiert auf seiner Homepage über diese Risiken, verweist auf eine Insolvenz aus dem Jahr 2010 und rät dazu, einen größeren Kredit auf mehrere Projekte zu verteilen, um das Risiko zu minimieren. Die </w:t>
      </w:r>
      <w:hyperlink r:id="rId41" w:tooltip="Stiftung Warentest" w:history="1">
        <w:r w:rsidRPr="00393B9B">
          <w:rPr>
            <w:rFonts w:eastAsia="Times New Roman" w:cstheme="minorHAnsi"/>
            <w:sz w:val="24"/>
            <w:szCs w:val="24"/>
            <w:lang w:val="de-DE" w:eastAsia="en-GB"/>
          </w:rPr>
          <w:t>Stiftung Warentest</w:t>
        </w:r>
      </w:hyperlink>
      <w:r w:rsidRPr="00393B9B">
        <w:rPr>
          <w:rFonts w:eastAsia="Times New Roman" w:cstheme="minorHAnsi"/>
          <w:sz w:val="24"/>
          <w:szCs w:val="24"/>
          <w:lang w:val="de-DE" w:eastAsia="en-GB"/>
        </w:rPr>
        <w:t xml:space="preserve"> empfiehlt in einer Beurteilung den Anlegern, nur überschaubare Summen zu investieren: „Die Investition eignet sich nicht als reine Geldanlage. Im Verhältnis zum Risiko sind die Renditeaussichten gering.“ </w:t>
      </w:r>
    </w:p>
    <w:p w14:paraId="43F927EB" w14:textId="77777777" w:rsidR="00DB0778" w:rsidRPr="00393B9B" w:rsidRDefault="00DB0778" w:rsidP="00DB0778">
      <w:pPr>
        <w:spacing w:before="100" w:beforeAutospacing="1" w:after="100" w:afterAutospacing="1" w:line="240" w:lineRule="auto"/>
        <w:jc w:val="both"/>
        <w:outlineLvl w:val="1"/>
        <w:rPr>
          <w:rFonts w:eastAsia="Times New Roman" w:cstheme="minorHAnsi"/>
          <w:b/>
          <w:bCs/>
          <w:sz w:val="24"/>
          <w:szCs w:val="24"/>
          <w:lang w:val="de-DE" w:eastAsia="en-GB"/>
        </w:rPr>
      </w:pPr>
      <w:r w:rsidRPr="00393B9B">
        <w:rPr>
          <w:rFonts w:eastAsia="Times New Roman" w:cstheme="minorHAnsi"/>
          <w:b/>
          <w:bCs/>
          <w:sz w:val="24"/>
          <w:szCs w:val="24"/>
          <w:lang w:val="de-DE" w:eastAsia="en-GB"/>
        </w:rPr>
        <w:t>Empfehlenswertes Video</w:t>
      </w:r>
    </w:p>
    <w:p w14:paraId="487D4760" w14:textId="77777777" w:rsidR="00DB0778" w:rsidRPr="00916347" w:rsidRDefault="00DB0778" w:rsidP="00DB0778">
      <w:pPr>
        <w:spacing w:before="100" w:beforeAutospacing="1" w:after="100" w:afterAutospacing="1" w:line="240" w:lineRule="auto"/>
        <w:jc w:val="both"/>
        <w:rPr>
          <w:rFonts w:eastAsia="Times New Roman" w:cstheme="minorHAnsi"/>
          <w:sz w:val="24"/>
          <w:szCs w:val="24"/>
          <w:lang w:val="de-DE" w:eastAsia="en-GB"/>
        </w:rPr>
      </w:pPr>
      <w:hyperlink r:id="rId42" w:history="1">
        <w:r w:rsidRPr="00393B9B">
          <w:rPr>
            <w:rFonts w:eastAsia="Times New Roman" w:cstheme="minorHAnsi"/>
            <w:i/>
            <w:iCs/>
            <w:sz w:val="24"/>
            <w:szCs w:val="24"/>
            <w:u w:val="single"/>
            <w:lang w:val="de-DE" w:eastAsia="en-GB"/>
          </w:rPr>
          <w:t>Das ist unser Haus</w:t>
        </w:r>
      </w:hyperlink>
      <w:r w:rsidRPr="00393B9B">
        <w:rPr>
          <w:rFonts w:eastAsia="Times New Roman" w:cstheme="minorHAnsi"/>
          <w:sz w:val="24"/>
          <w:szCs w:val="24"/>
          <w:lang w:val="de-DE" w:eastAsia="en-GB"/>
        </w:rPr>
        <w:t xml:space="preserve"> (</w:t>
      </w:r>
      <w:proofErr w:type="spellStart"/>
      <w:r w:rsidRPr="00393B9B">
        <w:rPr>
          <w:rFonts w:eastAsia="Times New Roman" w:cstheme="minorHAnsi"/>
          <w:sz w:val="24"/>
          <w:szCs w:val="24"/>
          <w:lang w:val="de-DE" w:eastAsia="en-GB"/>
        </w:rPr>
        <w:t>Infofilm</w:t>
      </w:r>
      <w:proofErr w:type="spellEnd"/>
      <w:r w:rsidRPr="00393B9B">
        <w:rPr>
          <w:rFonts w:eastAsia="Times New Roman" w:cstheme="minorHAnsi"/>
          <w:sz w:val="24"/>
          <w:szCs w:val="24"/>
          <w:lang w:val="de-DE" w:eastAsia="en-GB"/>
        </w:rPr>
        <w:t xml:space="preserve">), </w:t>
      </w:r>
      <w:hyperlink r:id="rId43" w:tooltip="Vimeo" w:history="1">
        <w:r w:rsidRPr="00393B9B">
          <w:rPr>
            <w:rFonts w:eastAsia="Times New Roman" w:cstheme="minorHAnsi"/>
            <w:sz w:val="24"/>
            <w:szCs w:val="24"/>
            <w:u w:val="single"/>
            <w:lang w:val="de-DE" w:eastAsia="en-GB"/>
          </w:rPr>
          <w:t>vimeo.com</w:t>
        </w:r>
      </w:hyperlink>
      <w:r w:rsidRPr="00393B9B">
        <w:rPr>
          <w:rFonts w:eastAsia="Times New Roman" w:cstheme="minorHAnsi"/>
          <w:sz w:val="24"/>
          <w:szCs w:val="24"/>
          <w:lang w:val="de-DE" w:eastAsia="en-GB"/>
        </w:rPr>
        <w:t>, 25. November 2016</w:t>
      </w:r>
    </w:p>
    <w:p w14:paraId="34A34F90" w14:textId="77777777" w:rsidR="002A022E" w:rsidRDefault="002A022E"/>
    <w:sectPr w:rsidR="002A022E" w:rsidSect="00F422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78"/>
    <w:rsid w:val="00231AFE"/>
    <w:rsid w:val="002A022E"/>
    <w:rsid w:val="00B71F8F"/>
    <w:rsid w:val="00DB0778"/>
    <w:rsid w:val="00F4223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2F93"/>
  <w15:chartTrackingRefBased/>
  <w15:docId w15:val="{F88863D7-E18B-481E-8FD4-AEA2CB20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07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0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Kapital" TargetMode="External"/><Relationship Id="rId13" Type="http://schemas.openxmlformats.org/officeDocument/2006/relationships/hyperlink" Target="https://de.wikipedia.org/wiki/Mietsh%C3%A4user_Syndikat" TargetMode="External"/><Relationship Id="rId18" Type="http://schemas.openxmlformats.org/officeDocument/2006/relationships/hyperlink" Target="https://de.wikipedia.org/wiki/Linke_Politik" TargetMode="External"/><Relationship Id="rId26" Type="http://schemas.openxmlformats.org/officeDocument/2006/relationships/hyperlink" Target="https://de.wikipedia.org/wiki/Schlageter-Kaserne" TargetMode="External"/><Relationship Id="rId39" Type="http://schemas.openxmlformats.org/officeDocument/2006/relationships/hyperlink" Target="https://de.wikipedia.org/wiki/Mietsh%C3%A4user_Syndikat" TargetMode="External"/><Relationship Id="rId3" Type="http://schemas.openxmlformats.org/officeDocument/2006/relationships/webSettings" Target="webSettings.xml"/><Relationship Id="rId21" Type="http://schemas.openxmlformats.org/officeDocument/2006/relationships/hyperlink" Target="https://de.wikipedia.org/wiki/Grether_%26_Cie." TargetMode="External"/><Relationship Id="rId34" Type="http://schemas.openxmlformats.org/officeDocument/2006/relationships/hyperlink" Target="https://de.wikipedia.org/wiki/Leipzig" TargetMode="External"/><Relationship Id="rId42" Type="http://schemas.openxmlformats.org/officeDocument/2006/relationships/hyperlink" Target="https://vimeo.com/193034732" TargetMode="External"/><Relationship Id="rId7" Type="http://schemas.openxmlformats.org/officeDocument/2006/relationships/hyperlink" Target="https://de.wikipedia.org/wiki/Immobilienmarkt" TargetMode="External"/><Relationship Id="rId12" Type="http://schemas.openxmlformats.org/officeDocument/2006/relationships/hyperlink" Target="https://de.wikipedia.org/wiki/Euro" TargetMode="External"/><Relationship Id="rId17" Type="http://schemas.openxmlformats.org/officeDocument/2006/relationships/hyperlink" Target="https://de.wikipedia.org/wiki/Parit%C3%A4t_(Politik)" TargetMode="External"/><Relationship Id="rId25" Type="http://schemas.openxmlformats.org/officeDocument/2006/relationships/hyperlink" Target="https://de.wikipedia.org/wiki/SUSI_(Wohnprojekt)" TargetMode="External"/><Relationship Id="rId33" Type="http://schemas.openxmlformats.org/officeDocument/2006/relationships/hyperlink" Target="https://de.wikipedia.org/wiki/Gie%C3%9Fen" TargetMode="External"/><Relationship Id="rId38" Type="http://schemas.openxmlformats.org/officeDocument/2006/relationships/hyperlink" Target="https://de.wikipedia.org/wiki/Nachrangiges_Darlehen" TargetMode="External"/><Relationship Id="rId2" Type="http://schemas.openxmlformats.org/officeDocument/2006/relationships/settings" Target="settings.xml"/><Relationship Id="rId16" Type="http://schemas.openxmlformats.org/officeDocument/2006/relationships/hyperlink" Target="https://de.wikipedia.org/wiki/Rechtstitel" TargetMode="External"/><Relationship Id="rId20" Type="http://schemas.openxmlformats.org/officeDocument/2006/relationships/hyperlink" Target="https://de.wikipedia.org/wiki/Radio_Dreyeckland_(Freiburg_im_Breisgau)" TargetMode="External"/><Relationship Id="rId29" Type="http://schemas.openxmlformats.org/officeDocument/2006/relationships/hyperlink" Target="https://de.wikipedia.org/wiki/Berlin-Brandenburg" TargetMode="External"/><Relationship Id="rId41" Type="http://schemas.openxmlformats.org/officeDocument/2006/relationships/hyperlink" Target="https://de.wikipedia.org/wiki/Stiftung_Warentest" TargetMode="External"/><Relationship Id="rId1" Type="http://schemas.openxmlformats.org/officeDocument/2006/relationships/styles" Target="styles.xml"/><Relationship Id="rId6" Type="http://schemas.openxmlformats.org/officeDocument/2006/relationships/hyperlink" Target="https://de.wikipedia.org/wiki/Kollektiveigentum" TargetMode="External"/><Relationship Id="rId11" Type="http://schemas.openxmlformats.org/officeDocument/2006/relationships/hyperlink" Target="https://de.wikipedia.org/wiki/Netzwerk" TargetMode="External"/><Relationship Id="rId24" Type="http://schemas.openxmlformats.org/officeDocument/2006/relationships/hyperlink" Target="https://de.wikipedia.org/wiki/Einfamilienhaus" TargetMode="External"/><Relationship Id="rId32" Type="http://schemas.openxmlformats.org/officeDocument/2006/relationships/hyperlink" Target="https://de.wikipedia.org/wiki/Hamburg" TargetMode="External"/><Relationship Id="rId37" Type="http://schemas.openxmlformats.org/officeDocument/2006/relationships/hyperlink" Target="https://de.wikipedia.org/wiki/Anleger_(Finanzmarkt)" TargetMode="External"/><Relationship Id="rId40" Type="http://schemas.openxmlformats.org/officeDocument/2006/relationships/hyperlink" Target="https://de.wikipedia.org/wiki/Insolvenz" TargetMode="External"/><Relationship Id="rId45" Type="http://schemas.openxmlformats.org/officeDocument/2006/relationships/theme" Target="theme/theme1.xml"/><Relationship Id="rId5" Type="http://schemas.openxmlformats.org/officeDocument/2006/relationships/hyperlink" Target="https://de.wikipedia.org/wiki/Beteiligungsgesellschaft" TargetMode="External"/><Relationship Id="rId15" Type="http://schemas.openxmlformats.org/officeDocument/2006/relationships/hyperlink" Target="https://de.wikipedia.org/wiki/Gesellschaft_mit_beschr%C3%A4nkter_Haftung_(Deutschland)" TargetMode="External"/><Relationship Id="rId23" Type="http://schemas.openxmlformats.org/officeDocument/2006/relationships/hyperlink" Target="https://de.wikipedia.org/wiki/Hausbesetzung" TargetMode="External"/><Relationship Id="rId28" Type="http://schemas.openxmlformats.org/officeDocument/2006/relationships/hyperlink" Target="https://de.wikipedia.org/wiki/Bayern" TargetMode="External"/><Relationship Id="rId36" Type="http://schemas.openxmlformats.org/officeDocument/2006/relationships/hyperlink" Target="https://de.wikipedia.org/wiki/Nordrhein-Westfalen" TargetMode="External"/><Relationship Id="rId10" Type="http://schemas.openxmlformats.org/officeDocument/2006/relationships/hyperlink" Target="https://de.wikipedia.org/wiki/Basisdemokratie" TargetMode="External"/><Relationship Id="rId19" Type="http://schemas.openxmlformats.org/officeDocument/2006/relationships/hyperlink" Target="https://de.wikipedia.org/wiki/Hausbesetzung" TargetMode="External"/><Relationship Id="rId31" Type="http://schemas.openxmlformats.org/officeDocument/2006/relationships/hyperlink" Target="https://de.wikipedia.org/wiki/Dresden" TargetMode="External"/><Relationship Id="rId44" Type="http://schemas.openxmlformats.org/officeDocument/2006/relationships/fontTable" Target="fontTable.xml"/><Relationship Id="rId4" Type="http://schemas.openxmlformats.org/officeDocument/2006/relationships/hyperlink" Target="https://de.wikipedia.org/wiki/Mietsh%C3%A4user_Syndikat" TargetMode="External"/><Relationship Id="rId9" Type="http://schemas.openxmlformats.org/officeDocument/2006/relationships/hyperlink" Target="https://de.wikipedia.org/wiki/Solidarit%C3%A4t" TargetMode="External"/><Relationship Id="rId14" Type="http://schemas.openxmlformats.org/officeDocument/2006/relationships/hyperlink" Target="https://de.wikipedia.org/wiki/Wohnprojekt" TargetMode="External"/><Relationship Id="rId22" Type="http://schemas.openxmlformats.org/officeDocument/2006/relationships/hyperlink" Target="https://de.wikipedia.org/wiki/Freiburg_im_Breisgau" TargetMode="External"/><Relationship Id="rId27" Type="http://schemas.openxmlformats.org/officeDocument/2006/relationships/hyperlink" Target="https://de.wikipedia.org/wiki/T%C3%BCbingen" TargetMode="External"/><Relationship Id="rId30" Type="http://schemas.openxmlformats.org/officeDocument/2006/relationships/hyperlink" Target="https://de.wikipedia.org/wiki/Bremen" TargetMode="External"/><Relationship Id="rId35" Type="http://schemas.openxmlformats.org/officeDocument/2006/relationships/hyperlink" Target="https://de.wikipedia.org/wiki/Marburg" TargetMode="External"/><Relationship Id="rId43" Type="http://schemas.openxmlformats.org/officeDocument/2006/relationships/hyperlink" Target="https://de.wikipedia.org/wiki/Vime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dc:description/>
  <cp:lastModifiedBy>Norbert</cp:lastModifiedBy>
  <cp:revision>1</cp:revision>
  <dcterms:created xsi:type="dcterms:W3CDTF">2020-10-19T06:32:00Z</dcterms:created>
  <dcterms:modified xsi:type="dcterms:W3CDTF">2020-10-19T06:33:00Z</dcterms:modified>
</cp:coreProperties>
</file>